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 w:hint="eastAsia"/>
          <w:sz w:val="32"/>
          <w:szCs w:val="32"/>
        </w:rPr>
        <w:t>附件 1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bookmarkStart w:id="0" w:name="_GoBack"/>
    </w:p>
    <w:bookmarkEnd w:id="0"/>
    <w:p w:rsidR="000524C4" w:rsidRPr="000524C4" w:rsidRDefault="000524C4" w:rsidP="000524C4">
      <w:pPr>
        <w:jc w:val="center"/>
        <w:rPr>
          <w:rStyle w:val="a7"/>
          <w:rFonts w:ascii="仿宋" w:eastAsia="仿宋" w:hAnsi="仿宋"/>
          <w:b/>
          <w:i w:val="0"/>
          <w:sz w:val="32"/>
          <w:szCs w:val="32"/>
        </w:rPr>
      </w:pPr>
      <w:r w:rsidRPr="000524C4">
        <w:rPr>
          <w:rStyle w:val="a7"/>
          <w:rFonts w:ascii="仿宋" w:eastAsia="仿宋" w:hAnsi="仿宋" w:hint="eastAsia"/>
          <w:b/>
          <w:sz w:val="32"/>
          <w:szCs w:val="32"/>
        </w:rPr>
        <w:t>创新型中小企业评价标准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 w:hint="eastAsia"/>
          <w:sz w:val="32"/>
          <w:szCs w:val="32"/>
        </w:rPr>
        <w:t>一、公告条件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评价得分达到60分以上（其中创新能力指标得分不低于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20分、成长性指标及专业化指标得分均不低于15分），或满足下列条件之一：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（一）近三年内获得过国家级、省级科技奖励。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（二）获得高新技术企业、国家级技术创新示范企业、知识产权优势企业和知识产权示范企业等荣誉（均为有效期内）。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（三）拥有经认定的省部级以上研发机构。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（四）近三年内新增股权融资总额（合格机构投资者的实缴额）500万元以上。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二、评价指标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包括创新能力、成长性、专业化三类六个指标，评价结果依分值计算，满分为100分。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 w:hint="eastAsia"/>
          <w:sz w:val="32"/>
          <w:szCs w:val="32"/>
        </w:rPr>
        <w:t>（一）创新能力指标（满分40分）</w:t>
      </w:r>
    </w:p>
    <w:p w:rsidR="000524C4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1</w:t>
      </w:r>
      <w:r w:rsidRPr="007175B5">
        <w:rPr>
          <w:rStyle w:val="a7"/>
          <w:rFonts w:ascii="仿宋" w:eastAsia="仿宋" w:hAnsi="仿宋" w:hint="eastAsia"/>
          <w:sz w:val="32"/>
          <w:szCs w:val="32"/>
        </w:rPr>
        <w:t>.</w:t>
      </w:r>
      <w:r w:rsidRPr="007175B5">
        <w:rPr>
          <w:rStyle w:val="a7"/>
          <w:rFonts w:ascii="仿宋" w:eastAsia="仿宋" w:hAnsi="仿宋"/>
          <w:sz w:val="32"/>
          <w:szCs w:val="32"/>
        </w:rPr>
        <w:t>与企业主导产品相关的有效知识产权数量（满分20分）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A．</w:t>
      </w:r>
      <w:r w:rsidRPr="007175B5">
        <w:rPr>
          <w:rStyle w:val="a7"/>
          <w:rFonts w:ascii="仿宋" w:eastAsia="仿宋" w:hAnsi="仿宋" w:cs="宋体" w:hint="eastAsia"/>
          <w:sz w:val="32"/>
          <w:szCs w:val="32"/>
        </w:rPr>
        <w:t>Ⅰ</w:t>
      </w:r>
      <w:r w:rsidRPr="007175B5">
        <w:rPr>
          <w:rStyle w:val="a7"/>
          <w:rFonts w:ascii="仿宋" w:eastAsia="仿宋" w:hAnsi="仿宋"/>
          <w:sz w:val="32"/>
          <w:szCs w:val="32"/>
        </w:rPr>
        <w:t>类高价值知识产权 1 项以上（20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B．自主研发的</w:t>
      </w:r>
      <w:r w:rsidRPr="007175B5">
        <w:rPr>
          <w:rStyle w:val="a7"/>
          <w:rFonts w:ascii="仿宋" w:eastAsia="仿宋" w:hAnsi="仿宋" w:cs="宋体" w:hint="eastAsia"/>
          <w:sz w:val="32"/>
          <w:szCs w:val="32"/>
        </w:rPr>
        <w:t>Ⅰ</w:t>
      </w:r>
      <w:r w:rsidRPr="007175B5">
        <w:rPr>
          <w:rStyle w:val="a7"/>
          <w:rFonts w:ascii="仿宋" w:eastAsia="仿宋" w:hAnsi="仿宋"/>
          <w:sz w:val="32"/>
          <w:szCs w:val="32"/>
        </w:rPr>
        <w:t>类知识产权 1 项以上（15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C．</w:t>
      </w:r>
      <w:r w:rsidRPr="007175B5">
        <w:rPr>
          <w:rStyle w:val="a7"/>
          <w:rFonts w:ascii="仿宋" w:eastAsia="仿宋" w:hAnsi="仿宋" w:cs="宋体" w:hint="eastAsia"/>
          <w:sz w:val="32"/>
          <w:szCs w:val="32"/>
        </w:rPr>
        <w:t>Ⅰ</w:t>
      </w:r>
      <w:r w:rsidRPr="007175B5">
        <w:rPr>
          <w:rStyle w:val="a7"/>
          <w:rFonts w:ascii="仿宋" w:eastAsia="仿宋" w:hAnsi="仿宋"/>
          <w:sz w:val="32"/>
          <w:szCs w:val="32"/>
        </w:rPr>
        <w:t>类知识产权 1 项以上（10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lastRenderedPageBreak/>
        <w:t>D．</w:t>
      </w:r>
      <w:r w:rsidRPr="007175B5">
        <w:rPr>
          <w:rStyle w:val="a7"/>
          <w:rFonts w:ascii="仿宋" w:eastAsia="仿宋" w:hAnsi="仿宋" w:cs="宋体" w:hint="eastAsia"/>
          <w:sz w:val="32"/>
          <w:szCs w:val="32"/>
        </w:rPr>
        <w:t>Ⅱ</w:t>
      </w:r>
      <w:r w:rsidRPr="007175B5">
        <w:rPr>
          <w:rStyle w:val="a7"/>
          <w:rFonts w:ascii="仿宋" w:eastAsia="仿宋" w:hAnsi="仿宋"/>
          <w:sz w:val="32"/>
          <w:szCs w:val="32"/>
        </w:rPr>
        <w:t>类知识产权 1 项以上（5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E．无（0 分）</w:t>
      </w:r>
    </w:p>
    <w:p w:rsidR="000524C4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2</w:t>
      </w:r>
      <w:r w:rsidRPr="007175B5">
        <w:rPr>
          <w:rStyle w:val="a7"/>
          <w:rFonts w:ascii="仿宋" w:eastAsia="仿宋" w:hAnsi="仿宋" w:hint="eastAsia"/>
          <w:sz w:val="32"/>
          <w:szCs w:val="32"/>
        </w:rPr>
        <w:t>.</w:t>
      </w:r>
      <w:r w:rsidRPr="007175B5">
        <w:rPr>
          <w:rStyle w:val="a7"/>
          <w:rFonts w:ascii="仿宋" w:eastAsia="仿宋" w:hAnsi="仿宋"/>
          <w:sz w:val="32"/>
          <w:szCs w:val="32"/>
        </w:rPr>
        <w:t>上年度研发费用总额占营业收入总额比重（满分20分）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A．5%以上（20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B．3%-5%（15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C．2%-3%（10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D．1%-2%（5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E．1%以下（0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（二）成长性指标（满分 30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3</w:t>
      </w:r>
      <w:r w:rsidRPr="007175B5">
        <w:rPr>
          <w:rStyle w:val="a7"/>
          <w:rFonts w:ascii="仿宋" w:eastAsia="仿宋" w:hAnsi="仿宋" w:hint="eastAsia"/>
          <w:sz w:val="32"/>
          <w:szCs w:val="32"/>
        </w:rPr>
        <w:t>.</w:t>
      </w:r>
      <w:r w:rsidRPr="007175B5">
        <w:rPr>
          <w:rStyle w:val="a7"/>
          <w:rFonts w:ascii="仿宋" w:eastAsia="仿宋" w:hAnsi="仿宋"/>
          <w:sz w:val="32"/>
          <w:szCs w:val="32"/>
        </w:rPr>
        <w:t>上年度主营业务收入增长率（满分 20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A．15%以上（20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B．10%-15%（15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C．5%-10%（10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D．0%-5%（5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E．0%以下（0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4</w:t>
      </w:r>
      <w:r w:rsidRPr="007175B5">
        <w:rPr>
          <w:rStyle w:val="a7"/>
          <w:rFonts w:ascii="仿宋" w:eastAsia="仿宋" w:hAnsi="仿宋" w:hint="eastAsia"/>
          <w:sz w:val="32"/>
          <w:szCs w:val="32"/>
        </w:rPr>
        <w:t>.</w:t>
      </w:r>
      <w:r w:rsidRPr="007175B5">
        <w:rPr>
          <w:rStyle w:val="a7"/>
          <w:rFonts w:ascii="仿宋" w:eastAsia="仿宋" w:hAnsi="仿宋"/>
          <w:sz w:val="32"/>
          <w:szCs w:val="32"/>
        </w:rPr>
        <w:t>上年度资产负债率（满分 10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A．55%以下（10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B．55%-75%（5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D．75%以上（0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（三）专业化指标（满分 30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5</w:t>
      </w:r>
      <w:r w:rsidRPr="007175B5">
        <w:rPr>
          <w:rStyle w:val="a7"/>
          <w:rFonts w:ascii="仿宋" w:eastAsia="仿宋" w:hAnsi="仿宋" w:hint="eastAsia"/>
          <w:sz w:val="32"/>
          <w:szCs w:val="32"/>
        </w:rPr>
        <w:t>.</w:t>
      </w:r>
      <w:r w:rsidRPr="007175B5">
        <w:rPr>
          <w:rStyle w:val="a7"/>
          <w:rFonts w:ascii="仿宋" w:eastAsia="仿宋" w:hAnsi="仿宋"/>
          <w:sz w:val="32"/>
          <w:szCs w:val="32"/>
        </w:rPr>
        <w:t>主导产品所属领域情况（满分 10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A．属于《战略性新兴产业分类》（10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lastRenderedPageBreak/>
        <w:t>B．属于其他领域（5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6</w:t>
      </w:r>
      <w:r w:rsidRPr="007175B5">
        <w:rPr>
          <w:rStyle w:val="a7"/>
          <w:rFonts w:ascii="仿宋" w:eastAsia="仿宋" w:hAnsi="仿宋" w:hint="eastAsia"/>
          <w:sz w:val="32"/>
          <w:szCs w:val="32"/>
        </w:rPr>
        <w:t>.</w:t>
      </w:r>
      <w:r w:rsidRPr="007175B5">
        <w:rPr>
          <w:rStyle w:val="a7"/>
          <w:rFonts w:ascii="仿宋" w:eastAsia="仿宋" w:hAnsi="仿宋"/>
          <w:sz w:val="32"/>
          <w:szCs w:val="32"/>
        </w:rPr>
        <w:t>上年度主营业务收入总额占营业收入总额比重（满分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20分）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A．70%以上（20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B．60%-70%（15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C．55%-60%（10 分）</w:t>
      </w:r>
    </w:p>
    <w:p w:rsidR="000524C4" w:rsidRPr="007175B5" w:rsidRDefault="000524C4" w:rsidP="000524C4">
      <w:pPr>
        <w:jc w:val="left"/>
        <w:rPr>
          <w:rStyle w:val="a7"/>
          <w:rFonts w:ascii="仿宋" w:eastAsia="仿宋" w:hAnsi="仿宋"/>
          <w:i w:val="0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D．50%-55%（5 分）</w:t>
      </w:r>
    </w:p>
    <w:p w:rsidR="00A4643E" w:rsidRPr="000524C4" w:rsidRDefault="000524C4" w:rsidP="000524C4">
      <w:pPr>
        <w:jc w:val="left"/>
        <w:rPr>
          <w:rFonts w:ascii="仿宋" w:eastAsia="仿宋" w:hAnsi="仿宋" w:hint="eastAsia"/>
          <w:iCs/>
          <w:color w:val="808080" w:themeColor="text1" w:themeTint="7F"/>
          <w:sz w:val="32"/>
          <w:szCs w:val="32"/>
        </w:rPr>
      </w:pPr>
      <w:r w:rsidRPr="007175B5">
        <w:rPr>
          <w:rStyle w:val="a7"/>
          <w:rFonts w:ascii="仿宋" w:eastAsia="仿宋" w:hAnsi="仿宋"/>
          <w:sz w:val="32"/>
          <w:szCs w:val="32"/>
        </w:rPr>
        <w:t>E．50%以下（0 分）</w:t>
      </w:r>
    </w:p>
    <w:sectPr w:rsidR="00A4643E" w:rsidRPr="000524C4" w:rsidSect="00714F23">
      <w:headerReference w:type="default" r:id="rId6"/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A3E" w:rsidRDefault="00392A3E" w:rsidP="000524C4">
      <w:r>
        <w:separator/>
      </w:r>
    </w:p>
  </w:endnote>
  <w:endnote w:type="continuationSeparator" w:id="0">
    <w:p w:rsidR="00392A3E" w:rsidRDefault="00392A3E" w:rsidP="0005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A3E" w:rsidRDefault="00392A3E" w:rsidP="000524C4">
      <w:r>
        <w:separator/>
      </w:r>
    </w:p>
  </w:footnote>
  <w:footnote w:type="continuationSeparator" w:id="0">
    <w:p w:rsidR="00392A3E" w:rsidRDefault="00392A3E" w:rsidP="0005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17" w:rsidRDefault="00392A3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08"/>
    <w:rsid w:val="000524C4"/>
    <w:rsid w:val="00392A3E"/>
    <w:rsid w:val="00A4643E"/>
    <w:rsid w:val="00D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DB29A"/>
  <w15:chartTrackingRefBased/>
  <w15:docId w15:val="{6600C3AB-45BC-4578-8DF4-8DD981D9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052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4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4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4C4"/>
    <w:rPr>
      <w:sz w:val="18"/>
      <w:szCs w:val="18"/>
    </w:rPr>
  </w:style>
  <w:style w:type="character" w:styleId="a7">
    <w:name w:val="Subtle Emphasis"/>
    <w:basedOn w:val="a0"/>
    <w:uiPriority w:val="19"/>
    <w:qFormat/>
    <w:rsid w:val="000524C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2023-03-02T07:33:00Z</dcterms:created>
  <dcterms:modified xsi:type="dcterms:W3CDTF">2023-03-02T07:34:00Z</dcterms:modified>
</cp:coreProperties>
</file>