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ascii="方正小标宋_GBK" w:hAnsi="Times New Roman" w:eastAsia="方正小标宋_GBK" w:cs="Times New Roman"/>
          <w:b w:val="0"/>
          <w:sz w:val="44"/>
          <w:szCs w:val="44"/>
        </w:rPr>
      </w:pPr>
      <w:r>
        <w:rPr>
          <w:rFonts w:ascii="Times New Roman" w:hAnsi="Times New Roman" w:eastAsia="方正仿宋_GBK" w:cs="Times New Roman"/>
          <w:sz w:val="32"/>
          <w:szCs w:val="32"/>
        </w:rPr>
        <w:t>附件6</w:t>
      </w:r>
      <w:bookmarkStart w:id="0" w:name="_GoBack"/>
      <w:bookmarkEnd w:id="0"/>
    </w:p>
    <w:p>
      <w:pPr>
        <w:pStyle w:val="4"/>
        <w:widowControl w:val="0"/>
        <w:shd w:val="clear" w:color="auto" w:fill="FFFFFF"/>
        <w:topLinePunct/>
        <w:adjustRightInd w:val="0"/>
        <w:snapToGrid w:val="0"/>
        <w:spacing w:before="0" w:beforeAutospacing="0" w:after="0" w:afterAutospacing="0" w:line="590" w:lineRule="exact"/>
        <w:jc w:val="center"/>
        <w:rPr>
          <w:rFonts w:ascii="方正小标宋_GBK" w:hAnsi="Times New Roman" w:eastAsia="方正小标宋_GBK" w:cs="Times New Roman"/>
          <w:b/>
          <w:sz w:val="44"/>
          <w:szCs w:val="44"/>
        </w:rPr>
      </w:pPr>
      <w:r>
        <w:rPr>
          <w:rStyle w:val="7"/>
          <w:rFonts w:hint="eastAsia" w:ascii="方正小标宋_GBK" w:hAnsi="Times New Roman" w:eastAsia="方正小标宋_GBK" w:cs="Times New Roman"/>
          <w:b w:val="0"/>
          <w:sz w:val="44"/>
          <w:szCs w:val="44"/>
        </w:rPr>
        <w:t>部分指标和要求说明</w:t>
      </w:r>
    </w:p>
    <w:p>
      <w:pPr>
        <w:pStyle w:val="4"/>
        <w:widowControl w:val="0"/>
        <w:shd w:val="clear" w:color="auto" w:fill="FFFFFF"/>
        <w:overflowPunct w:val="0"/>
        <w:adjustRightInd w:val="0"/>
        <w:snapToGrid w:val="0"/>
        <w:spacing w:before="0" w:beforeAutospacing="0" w:after="0" w:afterAutospacing="0" w:line="590" w:lineRule="exact"/>
        <w:ind w:firstLine="640" w:firstLineChars="200"/>
        <w:rPr>
          <w:rFonts w:ascii="Times New Roman" w:hAnsi="Times New Roman" w:eastAsia="方正仿宋_GBK" w:cs="Times New Roman"/>
          <w:sz w:val="32"/>
          <w:szCs w:val="32"/>
        </w:rPr>
      </w:pP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（二）所称拥有自主品牌是指主营业务产品或服务具有自主知识产权，且符合下列条件之一：</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1.产品或服务品牌已经国家知识产权局商标局正式注册。</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2.产品或服务已经实现收入。</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（三）所称“</w:t>
      </w:r>
      <w:r>
        <w:rPr>
          <w:rFonts w:ascii="Times New Roman" w:hAnsi="Times New Roman" w:cs="Times New Roman"/>
          <w:sz w:val="32"/>
          <w:szCs w:val="32"/>
        </w:rPr>
        <w:t>Ⅰ</w:t>
      </w:r>
      <w:r>
        <w:rPr>
          <w:rFonts w:ascii="Times New Roman" w:hAnsi="Times New Roman" w:eastAsia="方正仿宋_GBK" w:cs="Times New Roman"/>
          <w:sz w:val="32"/>
          <w:szCs w:val="32"/>
        </w:rPr>
        <w:t>类知识产权”包括发明专利（含国防专利）、植物新品种、国家级农作物品种、国家新药、国家一级中药保护品种、集成电路布图设计专有权（均不包含转让未满1年的知识产权）。</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（四）所称“</w:t>
      </w:r>
      <w:r>
        <w:rPr>
          <w:rFonts w:ascii="Times New Roman" w:hAnsi="Times New Roman" w:cs="Times New Roman"/>
          <w:sz w:val="32"/>
          <w:szCs w:val="32"/>
        </w:rPr>
        <w:t>Ⅰ</w:t>
      </w:r>
      <w:r>
        <w:rPr>
          <w:rFonts w:ascii="Times New Roman" w:hAnsi="Times New Roman" w:eastAsia="方正仿宋_GBK" w:cs="Times New Roman"/>
          <w:sz w:val="32"/>
          <w:szCs w:val="32"/>
        </w:rPr>
        <w:t>类高价值知识产权”须符合以下条件之一：</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1.在海外有同族专利权的发明专利或在海外取得收入的其他</w:t>
      </w:r>
      <w:r>
        <w:rPr>
          <w:rFonts w:ascii="Times New Roman" w:hAnsi="Times New Roman" w:cs="Times New Roman"/>
          <w:sz w:val="32"/>
          <w:szCs w:val="32"/>
        </w:rPr>
        <w:t>Ⅰ</w:t>
      </w:r>
      <w:r>
        <w:rPr>
          <w:rFonts w:ascii="Times New Roman" w:hAnsi="Times New Roman" w:eastAsia="方正仿宋_GBK" w:cs="Times New Roman"/>
          <w:sz w:val="32"/>
          <w:szCs w:val="32"/>
        </w:rPr>
        <w:t>类知识产权，其中专利限G20成员、新加坡以及欧洲专利局经实质审查后获得授权的发明专利。</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2.维持年限超过10年的</w:t>
      </w:r>
      <w:r>
        <w:rPr>
          <w:rFonts w:ascii="Times New Roman" w:hAnsi="Times New Roman" w:cs="Times New Roman"/>
          <w:sz w:val="32"/>
          <w:szCs w:val="32"/>
        </w:rPr>
        <w:t>Ⅰ</w:t>
      </w:r>
      <w:r>
        <w:rPr>
          <w:rFonts w:ascii="Times New Roman" w:hAnsi="Times New Roman" w:eastAsia="方正仿宋_GBK" w:cs="Times New Roman"/>
          <w:sz w:val="32"/>
          <w:szCs w:val="32"/>
        </w:rPr>
        <w:t>类知识产权。</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3.实现较高质押融资金额的</w:t>
      </w:r>
      <w:r>
        <w:rPr>
          <w:rFonts w:ascii="Times New Roman" w:hAnsi="Times New Roman" w:cs="Times New Roman"/>
          <w:sz w:val="32"/>
          <w:szCs w:val="32"/>
        </w:rPr>
        <w:t>Ⅰ</w:t>
      </w:r>
      <w:r>
        <w:rPr>
          <w:rFonts w:ascii="Times New Roman" w:hAnsi="Times New Roman" w:eastAsia="方正仿宋_GBK" w:cs="Times New Roman"/>
          <w:sz w:val="32"/>
          <w:szCs w:val="32"/>
        </w:rPr>
        <w:t>类知识产权。</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4.获得国家科学技术奖或中国专利奖的</w:t>
      </w:r>
      <w:r>
        <w:rPr>
          <w:rFonts w:ascii="Times New Roman" w:hAnsi="Times New Roman" w:cs="Times New Roman"/>
          <w:sz w:val="32"/>
          <w:szCs w:val="32"/>
        </w:rPr>
        <w:t>Ⅰ</w:t>
      </w:r>
      <w:r>
        <w:rPr>
          <w:rFonts w:ascii="Times New Roman" w:hAnsi="Times New Roman" w:eastAsia="方正仿宋_GBK" w:cs="Times New Roman"/>
          <w:sz w:val="32"/>
          <w:szCs w:val="32"/>
        </w:rPr>
        <w:t>类知识产权。</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（五）所称“</w:t>
      </w:r>
      <w:r>
        <w:rPr>
          <w:rFonts w:ascii="Times New Roman" w:hAnsi="Times New Roman" w:cs="Times New Roman"/>
          <w:sz w:val="32"/>
          <w:szCs w:val="32"/>
        </w:rPr>
        <w:t>Ⅱ</w:t>
      </w:r>
      <w:r>
        <w:rPr>
          <w:rFonts w:ascii="Times New Roman" w:hAnsi="Times New Roman" w:eastAsia="方正仿宋_GBK" w:cs="Times New Roman"/>
          <w:sz w:val="32"/>
          <w:szCs w:val="32"/>
        </w:rPr>
        <w:t>类知识产权”包括与主导产品相关的软件著作权（不含商标）、授权后维持超过2年的实用新型专利或外观设计专利（均不包含转让未满1年的知识产权）。</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（六）所称“企业数字化转型水平”是指在</w:t>
      </w:r>
      <w:r>
        <w:rPr>
          <w:rFonts w:hint="eastAsia" w:ascii="Times New Roman" w:hAnsi="Times New Roman" w:eastAsia="方正仿宋_GBK" w:cs="Times New Roman"/>
          <w:sz w:val="32"/>
          <w:szCs w:val="32"/>
          <w:lang w:eastAsia="zh-CN"/>
        </w:rPr>
        <w:t>工信部</w:t>
      </w:r>
      <w:r>
        <w:rPr>
          <w:rFonts w:ascii="Times New Roman" w:hAnsi="Times New Roman" w:eastAsia="方正仿宋_GBK" w:cs="Times New Roman"/>
          <w:sz w:val="32"/>
          <w:szCs w:val="32"/>
        </w:rPr>
        <w:t>优质中小企业梯度培育平台完成数字化水平免费自测</w:t>
      </w:r>
      <w:r>
        <w:rPr>
          <w:rFonts w:hint="eastAsia" w:ascii="Times New Roman" w:hAnsi="Times New Roman" w:eastAsia="方正仿宋_GBK" w:cs="Times New Roman"/>
          <w:sz w:val="32"/>
          <w:szCs w:val="32"/>
          <w:lang w:eastAsia="zh-CN"/>
        </w:rPr>
        <w:t>（网址：</w:t>
      </w:r>
      <w:r>
        <w:rPr>
          <w:rFonts w:hint="default" w:ascii="Times New Roman" w:hAnsi="Times New Roman" w:eastAsia="方正仿宋_GBK" w:cs="Times New Roman"/>
          <w:sz w:val="32"/>
          <w:szCs w:val="32"/>
          <w:lang w:val="en" w:eastAsia="zh-CN"/>
        </w:rPr>
        <w:t>http://caii-sme.indusforce.com/#/Selftest</w:t>
      </w:r>
      <w:r>
        <w:rPr>
          <w:rFonts w:hint="eastAsia" w:ascii="Times New Roman" w:hAnsi="Times New Roman" w:eastAsia="方正仿宋_GBK" w:cs="Times New Roman"/>
          <w:sz w:val="32"/>
          <w:szCs w:val="32"/>
          <w:lang w:val="en" w:eastAsia="zh-CN"/>
        </w:rPr>
        <w:t>）</w:t>
      </w:r>
      <w:r>
        <w:rPr>
          <w:rFonts w:ascii="Times New Roman" w:hAnsi="Times New Roman" w:eastAsia="方正仿宋_GBK" w:cs="Times New Roman"/>
          <w:sz w:val="32"/>
          <w:szCs w:val="32"/>
        </w:rPr>
        <w:t>。</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（八）所称“股权融资”是指公司股东稀释部分公司股权给投资人，以增资扩股（出让股权不超过30%）的方式引进新的股东，从而取得公司融资的方式。</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（十）所称“主导产品”是指企业核心技术在产品中发挥重要作用，且产品收入之和占企业同期营业收入比重超过50%。</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（十一）所称“主导产品在全国细分市场占有率达10%以上，且享有较高知名度和影响力”可通过企业自证或其他方式佐证。</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（十二）所称“省级科技奖励”包括各省、自治区、直辖市科学技术奖的一、二、三等奖;“国家级科技奖励”包括国家科学技术进步奖、国家自然科学奖、国家技术发明奖，以及国防科技奖。</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（十三）如无特殊说明，所称“以上”、“以下”，包括本数;所称的“超过”，不包括本数。在计算评价指标得分时，如指标值位于两个评分区间边界上，按高分计算得分。</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（十四）本办法部分指标计算公式</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近2年主营业务收入平均增长率=（企业上一年度主营业务收入增长率+企业上上年度主营业务收入增长率）/2。</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企业上一年度主营业务收入增长率=（企业上一年度主营业务收入总额-企业上上年度主营业务收入总额）/企业上上年度主营业务收入总额*100%。其他年度主营业务收入增长率计算方法以此类推。</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（十五）所称“被列入经营异常名录”以国家企业信用信息公示系统（http：//www.gsxt.gov.cn）查询结果为准;所称“严重失信主体名单”以信用中国（http：//www.creditchina.gov.cn）查询结果为准。</w:t>
      </w:r>
    </w:p>
    <w:p>
      <w:pPr>
        <w:pStyle w:val="4"/>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（十六）所称“创客中国”中小企业创新创业大赛全国500强、50强企业组名单是指该大赛2021年以来正式发布的名单。</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（十七）制造强国战略十大重点产业领域包括：</w:t>
      </w:r>
      <w:r>
        <w:rPr>
          <w:rFonts w:hint="eastAsia" w:ascii="Times New Roman" w:hAnsi="Times New Roman" w:eastAsia="方正仿宋_GBK"/>
          <w:sz w:val="32"/>
          <w:szCs w:val="32"/>
        </w:rPr>
        <w:t>新一代信息技术、高档数控机床和机器人、航空航天装备、海洋工程装备及高技术船舶、先进轨道交通装备、节能与新能源汽车、电力装备、新材料、生物医药及高性能医疗器械、农业机械装备十大领域。</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（十八）国家级先进制造业集群：</w:t>
      </w:r>
      <w:r>
        <w:rPr>
          <w:rFonts w:hint="eastAsia" w:ascii="Times New Roman" w:hAnsi="Times New Roman" w:eastAsia="方正仿宋_GBK"/>
          <w:sz w:val="32"/>
          <w:szCs w:val="32"/>
        </w:rPr>
        <w:t>南京市新型电力（智能电网）装备集群、南京软件和信息服务集群、无锡市物联网集群、徐州市工程机械集群、常州市新型碳材料集群、苏州市纳米新材料集群。</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（十九）江苏省16个先进制造业集群包括：</w:t>
      </w:r>
      <w:r>
        <w:rPr>
          <w:rFonts w:hint="eastAsia" w:ascii="Times New Roman" w:hAnsi="Times New Roman" w:eastAsia="方正仿宋_GBK"/>
          <w:sz w:val="32"/>
          <w:szCs w:val="32"/>
        </w:rPr>
        <w:t>新型电力和新能源装备、工程机械和农业机械、物联网、高端新材料、高端纺织、生物医药、新型医疗器械、集成电路与新型显示、信息通信、新能源（智能网联）汽车、高端装备、高技术船舶和海洋工程装备、节能环保、绿色食品、核心软件、新兴数字产业。</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（二十）江苏省“531”重点产业链参阅</w:t>
      </w:r>
      <w:r>
        <w:rPr>
          <w:rFonts w:hint="eastAsia" w:ascii="Times New Roman" w:hAnsi="Times New Roman" w:eastAsia="方正仿宋_GBK"/>
          <w:sz w:val="32"/>
          <w:szCs w:val="32"/>
        </w:rPr>
        <w:t>江苏省政府办公厅印发的“产业强链”三年行动计划。</w:t>
      </w:r>
    </w:p>
    <w:p>
      <w:pPr>
        <w:spacing w:line="590" w:lineRule="exact"/>
        <w:ind w:firstLine="640" w:firstLineChars="200"/>
        <w:rPr>
          <w:rFonts w:ascii="Times New Roman" w:hAnsi="Times New Roman" w:eastAsia="方正仿宋_GBK" w:cs="Times New Roman"/>
          <w:sz w:val="32"/>
          <w:szCs w:val="32"/>
        </w:rPr>
      </w:pPr>
    </w:p>
    <w:sectPr>
      <w:footerReference r:id="rId3"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Times New Roman" w:hAnsi="Times New Roman" w:cs="Times New Roman"/>
        <w:sz w:val="28"/>
        <w:szCs w:val="28"/>
      </w:rPr>
      <w:t xml:space="preserve">— </w:t>
    </w:r>
    <w:sdt>
      <w:sdtPr>
        <w:rPr>
          <w:rFonts w:ascii="Times New Roman" w:hAnsi="Times New Roman" w:cs="Times New Roman"/>
          <w:sz w:val="28"/>
          <w:szCs w:val="28"/>
        </w:rPr>
        <w:id w:val="894937439"/>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3ZGUzNzRkZWNkZjI2OWI0YWFhOTk4MzNhNjUwYzIifQ=="/>
  </w:docVars>
  <w:rsids>
    <w:rsidRoot w:val="00213384"/>
    <w:rsid w:val="00213384"/>
    <w:rsid w:val="00504072"/>
    <w:rsid w:val="005754E7"/>
    <w:rsid w:val="006A7462"/>
    <w:rsid w:val="00887B2C"/>
    <w:rsid w:val="009618FB"/>
    <w:rsid w:val="009D13EC"/>
    <w:rsid w:val="00A152B7"/>
    <w:rsid w:val="00BC1EAD"/>
    <w:rsid w:val="00BD4E10"/>
    <w:rsid w:val="00D40BA1"/>
    <w:rsid w:val="00F745FC"/>
    <w:rsid w:val="00FF7892"/>
    <w:rsid w:val="05465C7D"/>
    <w:rsid w:val="086F75C9"/>
    <w:rsid w:val="21FE463A"/>
    <w:rsid w:val="5FF3DA97"/>
    <w:rsid w:val="6A2D7FEB"/>
    <w:rsid w:val="7FBA8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1837</Words>
  <Characters>1961</Characters>
  <Lines>13</Lines>
  <Paragraphs>3</Paragraphs>
  <TotalTime>231</TotalTime>
  <ScaleCrop>false</ScaleCrop>
  <LinksUpToDate>false</LinksUpToDate>
  <CharactersWithSpaces>1961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2022-09-16T02:51:00Z</dcterms:created>
  <dc:creator>lenovo</dc:creator>
  <cp:lastModifiedBy>lenovo</cp:lastModifiedBy>
  <cp:lastPrinted>2022-09-23T07:25:28Z</cp:lastPrinted>
  <dcterms:modified xsi:type="dcterms:W3CDTF">2022-09-23T07:36:12Z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2169CAF643894282919C6E246A8CC20B</vt:lpwstr>
  </property>
</Properties>
</file>