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90" w:lineRule="exact"/>
        <w:jc w:val="center"/>
        <w:rPr>
          <w:rFonts w:ascii="方正小标宋_GBK" w:hAnsi="Times New Roman" w:eastAsia="方正小标宋_GBK" w:cs="Times New Roman"/>
          <w:sz w:val="44"/>
          <w:szCs w:val="44"/>
        </w:rPr>
      </w:pPr>
      <w:r>
        <w:rPr>
          <w:rFonts w:ascii="Times New Roman" w:hAnsi="Times New Roman" w:eastAsia="方正仿宋_GBK" w:cs="Times New Roman"/>
          <w:sz w:val="32"/>
          <w:szCs w:val="3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-389890</wp:posOffset>
                </wp:positionV>
                <wp:extent cx="1143000" cy="45720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w="9525">
                          <a:noFill/>
                          <a:miter lim="800000"/>
                        </a:ln>
                      </wps:spPr>
                      <wps:txbx>
                        <w:txbxContent>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0.7pt;height:36pt;width:90pt;mso-position-horizontal:left;mso-position-horizontal-relative:margin;z-index:251659264;mso-width-relative:page;mso-height-relative:page;" filled="f" stroked="f" coordsize="21600,21600" o:gfxdata="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iVFDNQAAAAH&#10;AQAADwAAAAAAAAABACAAAAAiAAAAZHJzL2Rvd25yZXYueG1sUEsBAhQAFAAAAAgAh07iQDF78TUg&#10;AgAAKwQAAA4AAAAAAAAAAQAgAAAAIwEAAGRycy9lMm9Eb2MueG1sUEsFBgAAAAAGAAYAWQEAALUF&#10;AAAAAA==&#10;">
                <v:fill on="f" focussize="0,0"/>
                <v:stroke on="f" miterlimit="8" joinstyle="miter"/>
                <v:imagedata o:title=""/>
                <o:lock v:ext="edit" aspectratio="f"/>
                <v:textbox>
                  <w:txbxContent>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txbxContent>
                </v:textbox>
              </v:shape>
            </w:pict>
          </mc:Fallback>
        </mc:AlternateContent>
      </w:r>
    </w:p>
    <w:p>
      <w:pPr>
        <w:spacing w:before="156" w:beforeLines="50" w:line="59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专精特新中小企业申报认定标准</w:t>
      </w:r>
    </w:p>
    <w:p>
      <w:pPr>
        <w:spacing w:before="156" w:beforeLines="50" w:line="590" w:lineRule="exact"/>
        <w:jc w:val="center"/>
        <w:rPr>
          <w:rFonts w:ascii="方正楷体_GBK" w:hAnsi="Times New Roman" w:eastAsia="方正楷体_GBK" w:cs="Times New Roman"/>
          <w:sz w:val="36"/>
          <w:szCs w:val="36"/>
        </w:rPr>
      </w:pPr>
      <w:r>
        <w:rPr>
          <w:rFonts w:hint="eastAsia" w:ascii="方正楷体_GBK" w:hAnsi="Times New Roman" w:eastAsia="方正楷体_GBK" w:cs="Times New Roman"/>
          <w:sz w:val="36"/>
          <w:szCs w:val="36"/>
        </w:rPr>
        <w:t>（江苏省）</w:t>
      </w:r>
    </w:p>
    <w:p>
      <w:pPr>
        <w:spacing w:before="156" w:beforeLines="50" w:line="590" w:lineRule="exact"/>
        <w:ind w:firstLine="640" w:firstLineChars="200"/>
        <w:jc w:val="left"/>
        <w:rPr>
          <w:rFonts w:ascii="方正黑体_GBK" w:hAnsi="Times New Roman" w:eastAsia="方正黑体_GBK" w:cs="Times New Roman"/>
          <w:sz w:val="32"/>
          <w:szCs w:val="32"/>
        </w:rPr>
      </w:pPr>
    </w:p>
    <w:p>
      <w:pPr>
        <w:spacing w:before="156" w:beforeLines="50" w:line="59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一、申报认定条件</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同时满足以下四项条件即视为满足申报认定条件：</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（一）从事特定细分市场时间达到2年以上。</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（二）上年度研发费用总额不低于100万元，且占营业收入总额比重不低于3%。</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（三）上年度营业收入总额在1000万元以上，或上年度营业收入总额在1000万元以下，但近2年新增股权融资总额（合格机构投资者的实缴额）达到2000万元以上。</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（四）评价得分达到60分以上或满足下列条件之一：</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1.近三年获得过省级科技奖励，并在获奖单位中排名前三；或获得国家级科技奖励，并在获奖单位中排名前五。</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2.近两年研发费用总额均值在1000万元以上。</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3.近两年新增股权融资总额（合格机构投资者的实缴额）6000万元以上。</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4.近三年进入“创客中国”中小企业创新创业大赛全国500强企业组名单。</w:t>
      </w:r>
    </w:p>
    <w:p>
      <w:pPr>
        <w:spacing w:line="59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二、评价指标</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（一）专业化指标（满分25分）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1.上年度主营业务收入总额占营业收入总额比重（满分5分）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A.80%以上（5分）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B.70%-80%（3分）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C.60%-70%（1分）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D.60%以下（0分）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2.近2年主营业务收入平均增长率（满分10分）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A.10%以上（10分）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B.8%-10%（8分）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C.6%-8%（6分）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D.4%-6%（4分）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E.0%-4%（2分）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F.0%以下（0分）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3.从事特定细分市场年限（满分5分）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每满2年得1分，最高不超过5分。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4.主导产品所属领域情况（满分5分）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A.在产业链供应链关键环节及关键领域“补短板”“锻长板”“填空白”取得实际成效（5分）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B.属于工业“六基”领域、中华老字号名录或企业主导产品服务关键产业链重点龙头企业（3分）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C.不属于以上情况（0分）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（二）精细化指标（满分25分）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5.数字化水平（满分5分）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A.三级以上（5分）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B.二级（3分）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C.一级（0分）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6.质量管理水平（每满足一项加3分，最高不超过5分）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A.获得省级以上质量奖荣誉</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B.建立质量管理体系，获</w:t>
      </w:r>
      <w:bookmarkStart w:id="0" w:name="_GoBack"/>
      <w:bookmarkEnd w:id="0"/>
      <w:r>
        <w:rPr>
          <w:rFonts w:ascii="Times New Roman" w:hAnsi="Times New Roman" w:eastAsia="方正仿宋_GBK" w:cs="Times New Roman"/>
          <w:sz w:val="32"/>
          <w:szCs w:val="32"/>
        </w:rPr>
        <w:t>ISO9001等质量管理体系认证证书</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C.拥有自主品牌</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D.参与制修订标准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7.上年度净利润率（满分10分）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A.10%以上（10分）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B.8%-10%（8分）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C.6%-8%（6分）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D.4%-6%（4分）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E.2%-4%（2分）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F.2%以下（0分）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8.上年度资产负债率（满分5分）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A.50%以下（5分）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B.50%-60%（3分）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C.60%-70%（1分）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D.70%以上（0分）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（三）特色化指标（满分15分）</w:t>
      </w:r>
    </w:p>
    <w:p>
      <w:pPr>
        <w:overflowPunct w:val="0"/>
        <w:spacing w:line="590" w:lineRule="exact"/>
        <w:ind w:firstLine="643"/>
        <w:rPr>
          <w:rFonts w:ascii="Times New Roman" w:hAnsi="Times New Roman" w:eastAsia="方正仿宋_GBK"/>
          <w:b/>
          <w:sz w:val="32"/>
          <w:szCs w:val="32"/>
        </w:rPr>
      </w:pPr>
      <w:r>
        <w:rPr>
          <w:rFonts w:ascii="Times New Roman" w:hAnsi="Times New Roman" w:eastAsia="方正仿宋_GBK"/>
          <w:b/>
          <w:sz w:val="32"/>
          <w:szCs w:val="32"/>
        </w:rPr>
        <w:t>9.技术和产品有自身独特优势，主导产品在细分市场占有率和排名（满分6分）</w:t>
      </w:r>
    </w:p>
    <w:p>
      <w:pPr>
        <w:overflowPunct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A.全国细分市场占有率10%以上（6分）</w:t>
      </w:r>
    </w:p>
    <w:p>
      <w:pPr>
        <w:overflowPunct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.全国细分市场占有率5%－10%或排名前十名或进入龙头企业供应链体系（4分）</w:t>
      </w:r>
    </w:p>
    <w:p>
      <w:pPr>
        <w:overflowPunct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.全省细分市场占有率排名前三名（2分）</w:t>
      </w:r>
    </w:p>
    <w:p>
      <w:pPr>
        <w:overflowPunct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D</w:t>
      </w:r>
      <w:r>
        <w:rPr>
          <w:rFonts w:ascii="Times New Roman" w:hAnsi="Times New Roman" w:eastAsia="方正仿宋_GBK"/>
          <w:sz w:val="32"/>
          <w:szCs w:val="32"/>
        </w:rPr>
        <w:t>.不属于上述情况（0分）</w:t>
      </w:r>
    </w:p>
    <w:p>
      <w:pPr>
        <w:overflowPunct w:val="0"/>
        <w:spacing w:line="590" w:lineRule="exact"/>
        <w:ind w:firstLine="643"/>
        <w:rPr>
          <w:rFonts w:ascii="Times New Roman" w:hAnsi="Times New Roman" w:eastAsia="方正仿宋_GBK"/>
          <w:b/>
          <w:sz w:val="32"/>
          <w:szCs w:val="32"/>
        </w:rPr>
      </w:pPr>
      <w:r>
        <w:rPr>
          <w:rFonts w:ascii="Times New Roman" w:hAnsi="Times New Roman" w:eastAsia="方正仿宋_GBK"/>
          <w:b/>
          <w:sz w:val="32"/>
          <w:szCs w:val="32"/>
        </w:rPr>
        <w:t>10.企业和产品所属</w:t>
      </w:r>
      <w:r>
        <w:rPr>
          <w:rFonts w:hint="eastAsia" w:ascii="Times New Roman" w:hAnsi="Times New Roman" w:eastAsia="方正仿宋_GBK"/>
          <w:b/>
          <w:sz w:val="32"/>
          <w:szCs w:val="32"/>
        </w:rPr>
        <w:t>产业领域竞争优势</w:t>
      </w:r>
      <w:r>
        <w:rPr>
          <w:rFonts w:ascii="Times New Roman" w:hAnsi="Times New Roman" w:eastAsia="方正仿宋_GBK"/>
          <w:b/>
          <w:sz w:val="32"/>
          <w:szCs w:val="32"/>
        </w:rPr>
        <w:t>（每满足一项按级别加分，满分9分）</w:t>
      </w:r>
    </w:p>
    <w:p>
      <w:pPr>
        <w:overflowPunct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A.</w:t>
      </w:r>
      <w:r>
        <w:rPr>
          <w:rFonts w:hint="eastAsia" w:ascii="Times New Roman" w:hAnsi="Times New Roman" w:eastAsia="方正仿宋_GBK"/>
          <w:sz w:val="32"/>
          <w:szCs w:val="32"/>
        </w:rPr>
        <w:t>符合制造强国战略十大重点产业领域或网络强国建设的信息基础设施、关键核心技术、网络安全、数据安全领域（3分）</w:t>
      </w:r>
    </w:p>
    <w:p>
      <w:pPr>
        <w:overflowPunct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B.分布在国家级先进制造业集群或</w:t>
      </w:r>
      <w:r>
        <w:rPr>
          <w:rFonts w:ascii="Times New Roman" w:hAnsi="Times New Roman" w:eastAsia="方正仿宋_GBK"/>
          <w:vanish/>
          <w:sz w:val="32"/>
          <w:szCs w:val="32"/>
        </w:rPr>
        <w:t>颁布分布分布</w:t>
      </w:r>
      <w:r>
        <w:rPr>
          <w:rFonts w:ascii="Times New Roman" w:hAnsi="Times New Roman" w:eastAsia="方正仿宋_GBK"/>
          <w:sz w:val="32"/>
          <w:szCs w:val="32"/>
        </w:rPr>
        <w:t>省16个先进制造业集群；其中，国家级3分，省级2分。（按最高级别加分，最高得3分）</w:t>
      </w:r>
    </w:p>
    <w:p>
      <w:pPr>
        <w:overflowPunct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C</w:t>
      </w:r>
      <w:r>
        <w:rPr>
          <w:rFonts w:hint="eastAsia" w:ascii="Times New Roman" w:hAnsi="Times New Roman" w:eastAsia="方正仿宋_GBK"/>
          <w:sz w:val="32"/>
          <w:szCs w:val="32"/>
        </w:rPr>
        <w:t>.分布在江苏省“531”重点产业链；其中卓越提升产业链3分、优势产业链2分、重点产业链1分。（按最高级别加分，最高得3分）</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（四）创新能力指标（满分35分）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11.与企业主导产品相关的有效知识产权数量（满分10分）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宋体" w:hAnsi="宋体" w:eastAsia="宋体" w:cs="宋体"/>
          <w:sz w:val="32"/>
          <w:szCs w:val="32"/>
        </w:rPr>
        <w:t>Ⅰ</w:t>
      </w:r>
      <w:r>
        <w:rPr>
          <w:rFonts w:ascii="Times New Roman" w:hAnsi="Times New Roman" w:eastAsia="方正仿宋_GBK" w:cs="Times New Roman"/>
          <w:sz w:val="32"/>
          <w:szCs w:val="32"/>
        </w:rPr>
        <w:t>类高价值知识产权1项以上（10分）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B.自主研发</w:t>
      </w:r>
      <w:r>
        <w:rPr>
          <w:rFonts w:hint="eastAsia" w:ascii="宋体" w:hAnsi="宋体" w:eastAsia="宋体" w:cs="宋体"/>
          <w:sz w:val="32"/>
          <w:szCs w:val="32"/>
        </w:rPr>
        <w:t>Ⅰ</w:t>
      </w:r>
      <w:r>
        <w:rPr>
          <w:rFonts w:ascii="Times New Roman" w:hAnsi="Times New Roman" w:eastAsia="方正仿宋_GBK" w:cs="Times New Roman"/>
          <w:sz w:val="32"/>
          <w:szCs w:val="32"/>
        </w:rPr>
        <w:t>类知识产权1项以上（8分）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宋体" w:hAnsi="宋体" w:eastAsia="宋体" w:cs="宋体"/>
          <w:sz w:val="32"/>
          <w:szCs w:val="32"/>
        </w:rPr>
        <w:t>Ⅰ</w:t>
      </w:r>
      <w:r>
        <w:rPr>
          <w:rFonts w:ascii="Times New Roman" w:hAnsi="Times New Roman" w:eastAsia="方正仿宋_GBK" w:cs="Times New Roman"/>
          <w:sz w:val="32"/>
          <w:szCs w:val="32"/>
        </w:rPr>
        <w:t>类知识产权1项以上（6分）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宋体" w:hAnsi="宋体" w:eastAsia="宋体" w:cs="宋体"/>
          <w:sz w:val="32"/>
          <w:szCs w:val="32"/>
        </w:rPr>
        <w:t>Ⅱ</w:t>
      </w:r>
      <w:r>
        <w:rPr>
          <w:rFonts w:ascii="Times New Roman" w:hAnsi="Times New Roman" w:eastAsia="方正仿宋_GBK" w:cs="Times New Roman"/>
          <w:sz w:val="32"/>
          <w:szCs w:val="32"/>
        </w:rPr>
        <w:t>类知识产权1项以上（2分）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E.无（0分）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12.上年度研发费用投入（满分10分）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A.研发费用总额500万元以上或研发费用总额占营业收入总额比重在10%以上（10分）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B.研发费用总额400-500万元或研发费用总额占营业收入总额比重在8%-10%（8分）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C.研发费用总额300-400万元或研发费用总额占营业收入总额比重在6%-8%（6分）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D.研发费用总额200-300万元或研发费用总额占营业收入总额比重在4%-6%（4分）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E.研发费用总额100-200万元或研发费用总额占营业收入总额比重在3%-4%（2分）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F.不属于以上情况（0分）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13.上年度研发人员占比（满分5分）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A.20%以上（5分）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B.10%-20%（3分）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C.5%-10%（1分）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D.5%以下（0分）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14.建立研发机构级别（满分10分）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A.国家级（10分）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B.省级（8分）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C.市级（4分）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D.市级以下（2分）</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E.未建立研发机构（0分）</w:t>
      </w:r>
    </w:p>
    <w:sectPr>
      <w:footerReference r:id="rId3"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Times New Roman" w:hAnsi="Times New Roman" w:cs="Times New Roman"/>
        <w:sz w:val="28"/>
        <w:szCs w:val="28"/>
      </w:rPr>
      <w:t xml:space="preserve">— </w:t>
    </w:r>
    <w:sdt>
      <w:sdtPr>
        <w:rPr>
          <w:rFonts w:ascii="Times New Roman" w:hAnsi="Times New Roman" w:cs="Times New Roman"/>
          <w:sz w:val="28"/>
          <w:szCs w:val="28"/>
        </w:rPr>
        <w:id w:val="-809473589"/>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3ZGUzNzRkZWNkZjI2OWI0YWFhOTk4MzNhNjUwYzIifQ=="/>
  </w:docVars>
  <w:rsids>
    <w:rsidRoot w:val="00B30CBC"/>
    <w:rsid w:val="00012958"/>
    <w:rsid w:val="000162C6"/>
    <w:rsid w:val="00075A73"/>
    <w:rsid w:val="000D66C1"/>
    <w:rsid w:val="000F7E73"/>
    <w:rsid w:val="00252502"/>
    <w:rsid w:val="00381322"/>
    <w:rsid w:val="00431ECC"/>
    <w:rsid w:val="004C436D"/>
    <w:rsid w:val="00504072"/>
    <w:rsid w:val="00507C8D"/>
    <w:rsid w:val="00600340"/>
    <w:rsid w:val="00933A28"/>
    <w:rsid w:val="00A4565D"/>
    <w:rsid w:val="00B30CBC"/>
    <w:rsid w:val="00DB12D8"/>
    <w:rsid w:val="00EE5076"/>
    <w:rsid w:val="00EF052B"/>
    <w:rsid w:val="180F7878"/>
    <w:rsid w:val="5138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1548</Words>
  <Characters>1837</Characters>
  <Lines>13</Lines>
  <Paragraphs>3</Paragraphs>
  <TotalTime>6</TotalTime>
  <ScaleCrop>false</ScaleCrop>
  <LinksUpToDate>false</LinksUpToDate>
  <CharactersWithSpaces>1837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2022-09-15T10:50:00Z</dcterms:created>
  <dc:creator>lenovo</dc:creator>
  <cp:lastModifiedBy>lenovo</cp:lastModifiedBy>
  <dcterms:modified xsi:type="dcterms:W3CDTF">2022-09-23T07:13:19Z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92FC39F918034BE1B94315C163E00480</vt:lpwstr>
  </property>
</Properties>
</file>